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6710" w:rsidRDefault="00DD6710" w:rsidP="001C5E8F">
      <w:pPr>
        <w:spacing w:after="0" w:line="240" w:lineRule="auto"/>
        <w:rPr>
          <w:rFonts w:cstheme="minorHAnsi"/>
          <w:b/>
          <w:bCs/>
          <w:color w:val="000000" w:themeColor="text1"/>
          <w:sz w:val="28"/>
          <w:szCs w:val="28"/>
        </w:rPr>
      </w:pPr>
      <w:r w:rsidRPr="005076F5">
        <w:rPr>
          <w:rFonts w:cstheme="minorHAnsi"/>
          <w:b/>
          <w:bCs/>
          <w:color w:val="000000" w:themeColor="text1"/>
          <w:sz w:val="28"/>
          <w:szCs w:val="28"/>
        </w:rPr>
        <w:t>Additional file 1</w:t>
      </w:r>
      <w:r w:rsidR="001C5E8F">
        <w:rPr>
          <w:rFonts w:cstheme="minorHAnsi"/>
          <w:b/>
          <w:bCs/>
          <w:color w:val="000000" w:themeColor="text1"/>
          <w:sz w:val="28"/>
          <w:szCs w:val="28"/>
        </w:rPr>
        <w:t>:</w:t>
      </w:r>
      <w:r w:rsidR="00415C56">
        <w:rPr>
          <w:rFonts w:cstheme="minorHAnsi"/>
          <w:b/>
          <w:bCs/>
          <w:color w:val="000000" w:themeColor="text1"/>
          <w:sz w:val="28"/>
          <w:szCs w:val="28"/>
        </w:rPr>
        <w:t xml:space="preserve"> </w:t>
      </w:r>
      <w:r w:rsidR="00415C56" w:rsidRPr="00415C56">
        <w:rPr>
          <w:rFonts w:cstheme="minorHAnsi"/>
          <w:b/>
          <w:bCs/>
          <w:color w:val="000000" w:themeColor="text1"/>
          <w:sz w:val="28"/>
          <w:szCs w:val="28"/>
        </w:rPr>
        <w:t>Complementary analysis of relationships bet</w:t>
      </w:r>
      <w:r w:rsidR="00807347">
        <w:rPr>
          <w:rFonts w:cstheme="minorHAnsi"/>
          <w:b/>
          <w:bCs/>
          <w:color w:val="000000" w:themeColor="text1"/>
          <w:sz w:val="28"/>
          <w:szCs w:val="28"/>
        </w:rPr>
        <w:t>ween daily salt intake and the outcomes</w:t>
      </w:r>
      <w:r w:rsidR="00415C56" w:rsidRPr="00415C56">
        <w:rPr>
          <w:rFonts w:cstheme="minorHAnsi"/>
          <w:b/>
          <w:bCs/>
          <w:color w:val="000000" w:themeColor="text1"/>
          <w:sz w:val="28"/>
          <w:szCs w:val="28"/>
        </w:rPr>
        <w:t>.</w:t>
      </w:r>
    </w:p>
    <w:p w:rsidR="00415C56" w:rsidRDefault="00415C56" w:rsidP="009B3A25">
      <w:pPr>
        <w:spacing w:after="0" w:line="240" w:lineRule="auto"/>
        <w:rPr>
          <w:rFonts w:cstheme="minorHAnsi"/>
          <w:b/>
          <w:bCs/>
          <w:color w:val="000000" w:themeColor="text1"/>
          <w:sz w:val="28"/>
          <w:szCs w:val="28"/>
        </w:rPr>
      </w:pPr>
    </w:p>
    <w:p w:rsidR="00DD6710" w:rsidRDefault="003F15B4" w:rsidP="00415C56">
      <w:pPr>
        <w:spacing w:after="0" w:line="240" w:lineRule="auto"/>
        <w:jc w:val="both"/>
        <w:rPr>
          <w:rFonts w:cstheme="minorHAnsi"/>
          <w:color w:val="000000" w:themeColor="text1"/>
        </w:rPr>
      </w:pPr>
      <w:r w:rsidRPr="00CA3D66">
        <w:rPr>
          <w:rFonts w:cs="Calibri"/>
          <w:color w:val="000000"/>
        </w:rPr>
        <w:t xml:space="preserve">The complementary analysis of relationships between daily salt intake and </w:t>
      </w:r>
      <w:r w:rsidR="00807347">
        <w:rPr>
          <w:rFonts w:cs="Calibri"/>
          <w:color w:val="000000"/>
        </w:rPr>
        <w:t>prevalence</w:t>
      </w:r>
      <w:r w:rsidRPr="00CA3D66">
        <w:rPr>
          <w:rFonts w:cs="Calibri"/>
          <w:color w:val="000000"/>
        </w:rPr>
        <w:t>, aware</w:t>
      </w:r>
      <w:r w:rsidR="00807347">
        <w:rPr>
          <w:rFonts w:cs="Calibri"/>
          <w:color w:val="000000"/>
        </w:rPr>
        <w:t>ness</w:t>
      </w:r>
      <w:r w:rsidRPr="00CA3D66">
        <w:rPr>
          <w:rFonts w:cs="Calibri"/>
          <w:color w:val="000000"/>
        </w:rPr>
        <w:t>,</w:t>
      </w:r>
      <w:r w:rsidR="00807347">
        <w:rPr>
          <w:rFonts w:cs="Calibri"/>
          <w:color w:val="000000"/>
        </w:rPr>
        <w:t xml:space="preserve"> treatment, and </w:t>
      </w:r>
      <w:r w:rsidRPr="00CA3D66">
        <w:rPr>
          <w:rFonts w:cs="Calibri"/>
          <w:color w:val="000000"/>
        </w:rPr>
        <w:t>control</w:t>
      </w:r>
      <w:r w:rsidR="00807347">
        <w:rPr>
          <w:rFonts w:cs="Calibri"/>
          <w:color w:val="000000"/>
        </w:rPr>
        <w:t xml:space="preserve"> of hypertension</w:t>
      </w:r>
      <w:r w:rsidRPr="00CA3D66">
        <w:rPr>
          <w:rFonts w:cs="Calibri"/>
          <w:color w:val="000000"/>
        </w:rPr>
        <w:t xml:space="preserve"> is presented in </w:t>
      </w:r>
      <w:r>
        <w:rPr>
          <w:rFonts w:cs="Calibri"/>
          <w:color w:val="000000"/>
        </w:rPr>
        <w:t>T</w:t>
      </w:r>
      <w:r w:rsidR="00DD6710">
        <w:rPr>
          <w:rFonts w:cstheme="minorHAnsi"/>
          <w:color w:val="000000" w:themeColor="text1"/>
        </w:rPr>
        <w:t>ables 1-4</w:t>
      </w:r>
      <w:r>
        <w:rPr>
          <w:rFonts w:cstheme="minorHAnsi"/>
          <w:color w:val="000000" w:themeColor="text1"/>
        </w:rPr>
        <w:t>. In this analysis,</w:t>
      </w:r>
      <w:r w:rsidR="00DD6710">
        <w:rPr>
          <w:rFonts w:cstheme="minorHAnsi"/>
          <w:color w:val="000000" w:themeColor="text1"/>
        </w:rPr>
        <w:t xml:space="preserve"> salt intake is considered as </w:t>
      </w:r>
      <w:r w:rsidR="00807347">
        <w:rPr>
          <w:rFonts w:cstheme="minorHAnsi"/>
          <w:color w:val="000000" w:themeColor="text1"/>
        </w:rPr>
        <w:t xml:space="preserve">a </w:t>
      </w:r>
      <w:bookmarkStart w:id="0" w:name="_GoBack"/>
      <w:bookmarkEnd w:id="0"/>
      <w:r w:rsidR="00DD6710">
        <w:rPr>
          <w:rFonts w:cstheme="minorHAnsi"/>
          <w:color w:val="000000" w:themeColor="text1"/>
        </w:rPr>
        <w:t xml:space="preserve">continuous variable. </w:t>
      </w:r>
    </w:p>
    <w:p w:rsidR="00DD6710" w:rsidRDefault="00DD6710" w:rsidP="009B3A25">
      <w:pPr>
        <w:spacing w:after="0" w:line="240" w:lineRule="auto"/>
        <w:rPr>
          <w:rFonts w:cstheme="minorHAnsi"/>
          <w:color w:val="000000" w:themeColor="text1"/>
        </w:rPr>
      </w:pPr>
    </w:p>
    <w:p w:rsidR="009B3A25" w:rsidRDefault="00A830B7" w:rsidP="009B3A25">
      <w:pPr>
        <w:spacing w:after="0" w:line="240" w:lineRule="auto"/>
        <w:rPr>
          <w:rFonts w:ascii="Calibri" w:eastAsia="Calibri" w:hAnsi="Calibri" w:cs="Calibri"/>
          <w:color w:val="000000"/>
          <w:sz w:val="20"/>
        </w:rPr>
      </w:pPr>
      <w:r w:rsidRPr="00CA3D66">
        <w:rPr>
          <w:color w:val="000000"/>
          <w:sz w:val="20"/>
          <w:szCs w:val="20"/>
        </w:rPr>
        <w:t>Table 1: Prevalence of hypertension based on the 2017 ACC/AHA and JNC8 hypertension guidelines and individual characteristics associated with prevalence according to the 2017 ACC/AHA guideline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26"/>
        <w:gridCol w:w="650"/>
        <w:gridCol w:w="1100"/>
        <w:gridCol w:w="806"/>
        <w:gridCol w:w="1209"/>
        <w:gridCol w:w="921"/>
        <w:gridCol w:w="650"/>
        <w:gridCol w:w="1100"/>
      </w:tblGrid>
      <w:tr w:rsidR="009B3A25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Default="009B3A25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16" w:type="dxa"/>
            <w:gridSpan w:val="5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Default="009B3A25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 xml:space="preserve">2017 ACC/AHA 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Default="009B3A25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JNC8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 xml:space="preserve"> %</w:t>
            </w:r>
            <w:r w:rsidRPr="00CA3D66">
              <w:rPr>
                <w:vertAlign w:val="superscript"/>
                <w:lang w:val="en-GB"/>
              </w:rPr>
              <w:t>†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95% CI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 xml:space="preserve">OR* 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 95% CI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 xml:space="preserve">P-value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%</w:t>
            </w:r>
            <w:r w:rsidRPr="00CA3D66">
              <w:rPr>
                <w:vertAlign w:val="superscript"/>
                <w:lang w:val="en-GB"/>
              </w:rPr>
              <w:t>†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95% CI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Overall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52.9-54.4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29.9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29.2-30.6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Age groups (years old)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25-34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29.5-31.9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6.7-8.0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35-44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44.8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43.5-46.2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1.76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1.55-2.00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16.3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15.4-17.4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45-54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59.0-61.8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2.86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2.49-3.30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31.8-34.5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55-64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70.3-73.2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4.49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3.81-5.29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50.6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49.0-52.2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65-74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80.2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78.5-81.8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6.99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5.69-8.58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64.0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62.1-66.0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≥75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82.4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80.4-84.3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7.97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6.29-10.10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67.3-72.1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Gender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Male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54.3-56.4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27.9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27.1-28.8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Female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52.1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51.2-53.0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0.74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0.67-0.82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31.7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30.9-32.5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Marital status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Single/divorced/widow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51.5-54.6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32.2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30.7-33.7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Married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53.0-54.6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0.90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0.80-1.03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0.119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28.6-30.1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Area of residence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Urban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53.9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53.0-54.8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28.6-30.2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Rural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52.9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51.5-54.3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0.89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0.80-0.99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0.040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31.1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29.9-32.4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Wealth status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Poorest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52.4-55.6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31.8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30.3-33.3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Poor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57.6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56.0-59.2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0.80-1.07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0.277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33.5-36.5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Average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53.7-56.9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0.83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0.72-0.97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0.017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29.4-32.2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Rich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52.0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50.3-53.6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0.73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0.62-0.85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27.9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26.5-29.3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Richest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50.3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48.8-51.9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0.69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0.58-0.82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25.2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23.9-26.5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Years of schooling 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schooling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73.7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72.2-75.1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54.8-58.0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1-6 years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57.6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56.3-58.9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0.74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0.65-0.84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33.2-35.7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7-12 years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47.1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46.0-48.3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0.61-0.83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20.6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19.7-21.5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&gt;12years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44.2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42.6-45.8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0.66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0.55-0.79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18.6-21.1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Basic health insurance coverage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50.1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47.5-52.6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24.3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22.1-26.7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53.2-54.7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0.96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0.80-1.16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0.692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29.7-31.0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Complementary health insurance coverage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50.9-52.5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27.1-28.5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58.9-61.7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1.05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0.93-1.19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0.394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37.2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35.8-38.6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Smoking status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Never-smoker/former-smoker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53.2-54.8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29.7-31.1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Daily cigarette-smoker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49.1-53.0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0.86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0.74-1.00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0.058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25.2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23.5-26.9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lastRenderedPageBreak/>
              <w:t xml:space="preserve">Alcohol consumption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54.2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53.4-55.0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30.5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29.8-31.1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47.5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45.1-49.8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1.00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0.84-1.19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0.969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21.3-25.4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Sufficient intake of fruits &amp; vegetables</w:t>
            </w:r>
          </w:p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(fruits≥2 portions &amp; vegetables≥3 portions)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Yes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50.9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48.8-52.9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26.7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24.9-28.4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53.2-54.8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1.06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0.92-1.21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0.447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29.6-31.0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Sufficient physical activity</w:t>
            </w:r>
          </w:p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(metabolic equivalents (MET) ≥ 600/week)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Yes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52.4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51.3-53.5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28.0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27.1-29.0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54.4-56.4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0.93-1.11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0.688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32.5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31.6-33.4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BMI category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Underweight (&lt;18.5 kg/m</w:t>
            </w:r>
            <w:r w:rsidRPr="00CA3D66">
              <w:rPr>
                <w:b/>
                <w:bCs/>
                <w:sz w:val="16"/>
                <w:szCs w:val="16"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27.5-34.2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0.54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0.42-0.70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14.8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12.5-17.4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Normal weight (18.5–24.9 kg/m</w:t>
            </w:r>
            <w:r w:rsidRPr="00CA3D66">
              <w:rPr>
                <w:b/>
                <w:bCs/>
                <w:sz w:val="16"/>
                <w:szCs w:val="16"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41.8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40.6-43.0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19.1-20.9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Overweight (25.0–29.9 kg/m</w:t>
            </w:r>
            <w:r w:rsidRPr="00CA3D66">
              <w:rPr>
                <w:b/>
                <w:bCs/>
                <w:sz w:val="16"/>
                <w:szCs w:val="16"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57.9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56.8-59.0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1.60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1.44-1.77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31.1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30.1-32.1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Obesity (≥30.0 kg/m</w:t>
            </w:r>
            <w:r w:rsidRPr="00CA3D66">
              <w:rPr>
                <w:b/>
                <w:bCs/>
                <w:sz w:val="16"/>
                <w:szCs w:val="16"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67.6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66.3-68.8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2.21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1.95-2.49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43.8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42.4-45.1</w:t>
            </w:r>
          </w:p>
        </w:tc>
      </w:tr>
      <w:tr w:rsidR="009B3A25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Pr="00A830B7" w:rsidRDefault="00E678B4" w:rsidP="00453AF1">
            <w:pPr>
              <w:spacing w:after="0" w:line="240" w:lineRule="auto"/>
              <w:rPr>
                <w:rFonts w:ascii="Calibri" w:eastAsia="Calibri" w:hAnsi="Calibri" w:cs="Calibri"/>
                <w:b/>
                <w:bCs/>
              </w:rPr>
            </w:pPr>
            <w:r w:rsidRPr="00A830B7"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  <w:t>Mean salt intake (gram</w:t>
            </w:r>
            <w:r w:rsidR="00A830B7"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  <w:t>/day</w:t>
            </w:r>
            <w:r w:rsidRPr="00A830B7"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  <w:t>)</w:t>
            </w:r>
            <w:r w:rsidRPr="00A830B7">
              <w:rPr>
                <w:b/>
                <w:bCs/>
              </w:rPr>
              <w:t xml:space="preserve"> </w:t>
            </w:r>
            <w:r w:rsidRPr="00A830B7"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  <w:t>**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Pr="00453AF1" w:rsidRDefault="009B3A25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453AF1">
              <w:rPr>
                <w:rFonts w:ascii="Calibri" w:eastAsia="Calibri" w:hAnsi="Calibri" w:cs="Calibri"/>
                <w:color w:val="000000"/>
                <w:sz w:val="16"/>
              </w:rPr>
              <w:t>9.7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Pr="00453AF1" w:rsidRDefault="009B3A25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453AF1">
              <w:rPr>
                <w:rFonts w:ascii="Calibri" w:eastAsia="Calibri" w:hAnsi="Calibri" w:cs="Calibri"/>
                <w:color w:val="000000"/>
                <w:sz w:val="16"/>
              </w:rPr>
              <w:t>9.6-9.7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Pr="00453AF1" w:rsidRDefault="009B3A25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Pr="00453AF1" w:rsidRDefault="009B3A25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0.99-1.03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Pr="00453AF1" w:rsidRDefault="009B3A25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0.220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Pr="00453AF1" w:rsidRDefault="009B3A25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B3A25" w:rsidRDefault="009B3A25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Dyslipidaemia***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453AF1" w:rsidRDefault="00415C56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453AF1" w:rsidRDefault="00415C56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453AF1" w:rsidRDefault="00415C56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453AF1" w:rsidRDefault="00415C56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453AF1" w:rsidRDefault="00415C56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453AF1" w:rsidRDefault="00415C56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50.4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49.1-51.6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28.4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27.3-29.5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59.4-62.0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1.15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1.05-1.26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0.002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36.4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35.2-37.7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High triglycerides (fasting triglycerides ≥200 mg/dL)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52.3-54.3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30.6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29.7-31.5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65.9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63.6-68.1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1.31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1.15-1.49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40.5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38.3-42.8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Diabetes mellitus****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51.5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50.5-52.5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27.6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26.7-28.5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76.0-80.0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1.58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1.37-1.82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58.2-63.1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Previous CVD events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53.0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52.3-53.8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29.0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28.3-29.6</w:t>
            </w:r>
          </w:p>
        </w:tc>
      </w:tr>
      <w:tr w:rsidR="00415C56" w:rsidTr="00A830B7">
        <w:tc>
          <w:tcPr>
            <w:tcW w:w="2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Pr="00CA3D66" w:rsidRDefault="00415C56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82.5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79.0-85.5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1.78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1.29-2.46+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0.001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71.5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15C56" w:rsidRDefault="00415C56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67.4-75.2</w:t>
            </w:r>
          </w:p>
        </w:tc>
      </w:tr>
    </w:tbl>
    <w:p w:rsidR="00415C56" w:rsidRPr="000A5B4D" w:rsidRDefault="00415C56" w:rsidP="00F35D69">
      <w:pPr>
        <w:tabs>
          <w:tab w:val="left" w:pos="1810"/>
        </w:tabs>
        <w:spacing w:line="240" w:lineRule="auto"/>
        <w:rPr>
          <w:rFonts w:cs="Calibri"/>
          <w:color w:val="000000"/>
          <w:sz w:val="16"/>
          <w:szCs w:val="16"/>
        </w:rPr>
      </w:pPr>
      <w:r w:rsidRPr="000A5B4D">
        <w:rPr>
          <w:rFonts w:cs="Calibri"/>
          <w:color w:val="000000"/>
          <w:sz w:val="16"/>
          <w:szCs w:val="14"/>
        </w:rPr>
        <w:t>†</w:t>
      </w:r>
      <w:r w:rsidRPr="000A5B4D">
        <w:rPr>
          <w:rFonts w:cs="Calibri"/>
          <w:color w:val="000000"/>
          <w:sz w:val="16"/>
          <w:szCs w:val="16"/>
        </w:rPr>
        <w:t xml:space="preserve">This refers to the percentage of hypertension prevalence in each of the sub-categories of individual characteristics. </w:t>
      </w:r>
      <w:r w:rsidR="000C619B">
        <w:rPr>
          <w:rFonts w:cs="Calibri"/>
          <w:color w:val="000000"/>
          <w:sz w:val="16"/>
          <w:szCs w:val="16"/>
        </w:rPr>
        <w:t xml:space="preserve"> </w:t>
      </w:r>
      <w:r w:rsidRPr="000A5B4D">
        <w:rPr>
          <w:rFonts w:cs="Calibri"/>
          <w:color w:val="000000"/>
          <w:sz w:val="16"/>
          <w:szCs w:val="16"/>
        </w:rPr>
        <w:t xml:space="preserve">*ORs are estimated for regression analyses with the hypertension cut-off </w:t>
      </w:r>
      <w:bookmarkStart w:id="1" w:name="_Hlk31701462"/>
      <w:r w:rsidRPr="00D05AFD">
        <w:rPr>
          <w:rFonts w:cs="Calibri"/>
          <w:color w:val="000000"/>
          <w:sz w:val="16"/>
          <w:szCs w:val="16"/>
        </w:rPr>
        <w:t>defined by</w:t>
      </w:r>
      <w:r w:rsidRPr="00A50FA6">
        <w:rPr>
          <w:rFonts w:cs="Calibri"/>
          <w:color w:val="000000"/>
          <w:sz w:val="16"/>
          <w:szCs w:val="16"/>
        </w:rPr>
        <w:t xml:space="preserve"> </w:t>
      </w:r>
      <w:bookmarkEnd w:id="1"/>
      <w:r w:rsidRPr="00A50FA6">
        <w:rPr>
          <w:rFonts w:cs="Calibri"/>
          <w:color w:val="000000"/>
          <w:sz w:val="16"/>
          <w:szCs w:val="16"/>
        </w:rPr>
        <w:t>the 2017 ACC/AHA</w:t>
      </w:r>
      <w:r w:rsidR="00F35D69" w:rsidRPr="000A5B4D">
        <w:rPr>
          <w:rFonts w:cs="Calibri"/>
          <w:color w:val="000000"/>
          <w:sz w:val="16"/>
          <w:szCs w:val="16"/>
        </w:rPr>
        <w:t>**</w:t>
      </w:r>
      <w:r w:rsidR="00F35D69" w:rsidRPr="00415C56">
        <w:rPr>
          <w:rFonts w:cs="Calibri"/>
          <w:color w:val="000000"/>
          <w:sz w:val="16"/>
          <w:szCs w:val="16"/>
        </w:rPr>
        <w:t xml:space="preserve">24-h salt intake is </w:t>
      </w:r>
      <w:r w:rsidR="00F35D69">
        <w:rPr>
          <w:rFonts w:cs="Calibri"/>
          <w:color w:val="000000"/>
          <w:sz w:val="16"/>
          <w:szCs w:val="16"/>
        </w:rPr>
        <w:t xml:space="preserve">considered as a continuous variable in this analysis.  </w:t>
      </w:r>
      <w:r>
        <w:rPr>
          <w:rFonts w:cs="Calibri"/>
          <w:color w:val="000000"/>
          <w:sz w:val="16"/>
          <w:szCs w:val="16"/>
        </w:rPr>
        <w:t xml:space="preserve"> </w:t>
      </w:r>
      <w:r w:rsidR="000C619B">
        <w:rPr>
          <w:rFonts w:cs="Calibri"/>
          <w:color w:val="000000"/>
          <w:sz w:val="16"/>
          <w:szCs w:val="16"/>
        </w:rPr>
        <w:t xml:space="preserve"> </w:t>
      </w:r>
      <w:r w:rsidRPr="000A5B4D">
        <w:rPr>
          <w:rFonts w:cs="Calibri"/>
          <w:color w:val="000000"/>
          <w:sz w:val="16"/>
          <w:szCs w:val="16"/>
        </w:rPr>
        <w:t xml:space="preserve">***Dyslipidaemia refers to either total cholesterol ≥200 mg/dL, high-density lipoprotein (HDL) cholesterol &lt;35 mg/dL, or low-density lipoprotein (LDL) cholesterol ≥130 mg/dL.  </w:t>
      </w:r>
      <w:r w:rsidRPr="00A50FA6">
        <w:rPr>
          <w:rFonts w:cs="Calibri"/>
          <w:color w:val="000000"/>
          <w:sz w:val="16"/>
          <w:szCs w:val="16"/>
        </w:rPr>
        <w:t>****Diabetes mellitus refers to HbA1c &gt;48 mmol/mol or fasting blood sugar (FBS) &gt;126 mg/dL or self-report</w:t>
      </w:r>
      <w:r w:rsidRPr="00D05AFD">
        <w:rPr>
          <w:rFonts w:cs="Calibri"/>
          <w:color w:val="000000"/>
          <w:sz w:val="16"/>
          <w:szCs w:val="16"/>
        </w:rPr>
        <w:t>ed</w:t>
      </w:r>
      <w:r w:rsidRPr="000A5B4D">
        <w:rPr>
          <w:rFonts w:cs="Calibri"/>
          <w:color w:val="000000"/>
          <w:sz w:val="16"/>
          <w:szCs w:val="16"/>
        </w:rPr>
        <w:t xml:space="preserve"> diabetes.</w:t>
      </w:r>
    </w:p>
    <w:p w:rsidR="00415C56" w:rsidRDefault="00415C56" w:rsidP="00453AF1">
      <w:pPr>
        <w:tabs>
          <w:tab w:val="left" w:pos="1810"/>
        </w:tabs>
        <w:spacing w:after="0" w:line="240" w:lineRule="auto"/>
        <w:rPr>
          <w:rFonts w:ascii="Calibri" w:eastAsia="Calibri" w:hAnsi="Calibri" w:cs="Calibri"/>
          <w:color w:val="000000"/>
          <w:sz w:val="16"/>
        </w:rPr>
      </w:pPr>
    </w:p>
    <w:p w:rsidR="009B3A25" w:rsidRDefault="009B3A25" w:rsidP="009B3A25">
      <w:pPr>
        <w:spacing w:after="0" w:line="240" w:lineRule="auto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 </w:t>
      </w:r>
    </w:p>
    <w:p w:rsidR="00453AF1" w:rsidRDefault="00453AF1">
      <w:pPr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br w:type="page"/>
      </w:r>
    </w:p>
    <w:p w:rsidR="00A830B7" w:rsidRPr="00CA3D66" w:rsidRDefault="00A830B7" w:rsidP="00A830B7">
      <w:pPr>
        <w:tabs>
          <w:tab w:val="left" w:pos="1810"/>
        </w:tabs>
        <w:spacing w:line="240" w:lineRule="auto"/>
        <w:jc w:val="center"/>
        <w:rPr>
          <w:color w:val="000000"/>
          <w:sz w:val="20"/>
          <w:szCs w:val="20"/>
        </w:rPr>
      </w:pPr>
      <w:r w:rsidRPr="00CA3D66">
        <w:rPr>
          <w:color w:val="000000"/>
          <w:sz w:val="20"/>
          <w:szCs w:val="20"/>
        </w:rPr>
        <w:lastRenderedPageBreak/>
        <w:t>Table 2: Percentage of hypertension awareness based on the 2017 ACC/AHA and JNC8 hypertension guidelines and individual characteristics associated with awareness according to the 2017 ACC/AHA guideline</w:t>
      </w:r>
    </w:p>
    <w:tbl>
      <w:tblPr>
        <w:tblW w:w="95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6"/>
        <w:gridCol w:w="742"/>
        <w:gridCol w:w="1259"/>
        <w:gridCol w:w="953"/>
        <w:gridCol w:w="1319"/>
        <w:gridCol w:w="1032"/>
        <w:gridCol w:w="742"/>
        <w:gridCol w:w="1205"/>
      </w:tblGrid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5305" w:type="dxa"/>
            <w:gridSpan w:val="5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2017 ACC/AHA</w:t>
            </w:r>
          </w:p>
        </w:tc>
        <w:tc>
          <w:tcPr>
            <w:tcW w:w="1947" w:type="dxa"/>
            <w:gridSpan w:val="2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JNC8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%</w:t>
            </w:r>
            <w:r w:rsidRPr="00CA3D66">
              <w:rPr>
                <w:vertAlign w:val="superscript"/>
                <w:lang w:val="en-GB"/>
              </w:rPr>
              <w:t>†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 95% CI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OR*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 95% CI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 xml:space="preserve">P-value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% </w:t>
            </w:r>
            <w:r w:rsidRPr="00CA3D66">
              <w:rPr>
                <w:vertAlign w:val="superscript"/>
                <w:lang w:val="en-GB"/>
              </w:rPr>
              <w:t>†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95% CI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Overall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37.1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36.2-38.0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58.0-60.3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Age groups (years old)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25-34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9.7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8.4-11.1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21.3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17.9-25.1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35-44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17.9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16.5-19.5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1.71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1.30-2.24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34.7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31.5-37.9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45-54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34.0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32.3-35.7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3.41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2.61-4.44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51.7-56.6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55-64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51.0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49.2-52.8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5.92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4.51-7.76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66.9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64.8-68.9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65-74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60.0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57.7-62.3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9. 92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7.33-13.44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71.7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69.3-74.0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≥75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67.9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65.1-70.5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13.30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9.58-18.46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76.8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74.0-79.4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Gender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Male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28.9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27.8-30.0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49.9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48.2-51.7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Female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45.1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43.9-46.4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1.57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1.38-1.80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66.7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65.2-68.1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Marital status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Single/divorced/widow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41.8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39.8-43.8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63.8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61.2-66.3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Married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36.0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35.0-37.0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1.18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0.99-1.41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0.060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57.9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56.6-59.2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Area of residence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Urban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36.6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35.5-37.6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58.0-60.9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Rural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38.4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36.7-40.1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1.14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0.98-1.32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0.081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56.3-60.6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Wealth status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Poorest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39.5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37.4-41.6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57.5-62.8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Poor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40.3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38.4-42.3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0.86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0.71-1.03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0.099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60.4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58.0-62.7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Average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36.4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34.5-38.3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0.83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0.68-1.01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0.067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55.6-60.8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Rich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35.4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33.4-37.4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0.97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0.79-1.20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0.808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55.5-60.9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Richest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34.3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32.4-36.3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1.03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0.82-1.30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0.786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58.8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55.8-61.7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Years of schooling 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schooling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57.5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55.7-59.4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70.8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68.8-72.7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1-6 years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39.2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37.6-40.8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0.77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0.65-0.90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56.9-61.2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7-12 years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26.6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25.2-28.0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0.66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0.55-0.80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49.6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47.3-51.9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&gt;12 years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26.6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24.6-28.7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0.58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0.46-0.73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47.8-54.5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Basic health insurance coverage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25.2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22.4-28.3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60.1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58.9-61.3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38.0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37.1-38.9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1.30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0.96-1.75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0.088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44.4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39.4-49.5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Complementary health insurance coverage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34.3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33.3-35.3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54.8-57.6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45.6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43.8-47.4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1.27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1.10-1.47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66.8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64.7-68.9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Smoking status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Never-smoker/former-smoker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38.3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37.4-39.3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60.6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59.4-61.8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Daily cigarette-smoker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25.7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23.5-28.1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0.79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0.63-1.00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0.046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44.6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40.9-48.4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Alcohol consumption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38.1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37.2-39.1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60.4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59.2-61.6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24.1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21.3-27.0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1.03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0.78-1.37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0.824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41.5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36.7-46.5</w:t>
            </w:r>
          </w:p>
        </w:tc>
      </w:tr>
      <w:tr w:rsidR="00A830B7" w:rsidTr="00A830B7">
        <w:trPr>
          <w:trHeight w:val="145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Sufficient intake of fruits &amp; vegetables</w:t>
            </w:r>
          </w:p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(fruits ≥2 portions &amp; vegetables ≥3 portions)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270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Yes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35.7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33.0-38.4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58.4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54.8-61.9</w:t>
            </w:r>
          </w:p>
        </w:tc>
      </w:tr>
      <w:tr w:rsidR="00A830B7" w:rsidTr="00A830B7">
        <w:trPr>
          <w:trHeight w:val="233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lastRenderedPageBreak/>
              <w:t>No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37.3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36.4-38.2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1.09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0.89-1.33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0.392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58.1-60.6</w:t>
            </w:r>
          </w:p>
        </w:tc>
      </w:tr>
      <w:tr w:rsidR="00A830B7" w:rsidTr="00A830B7">
        <w:trPr>
          <w:trHeight w:val="683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Sufficient physical activity </w:t>
            </w:r>
          </w:p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(metabolic equivalents ≥600/week)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A830B7" w:rsidTr="00A830B7">
        <w:trPr>
          <w:trHeight w:val="270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Yes 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35.4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34.0-36.7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57.7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55.8-59.6</w:t>
            </w:r>
          </w:p>
        </w:tc>
      </w:tr>
      <w:tr w:rsidR="00A830B7" w:rsidTr="00A830B7">
        <w:trPr>
          <w:trHeight w:val="224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40.7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39.5-41.9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0.98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0.87-1.10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0.729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62.6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61.1-64.2</w:t>
            </w:r>
          </w:p>
        </w:tc>
      </w:tr>
      <w:tr w:rsidR="00A830B7" w:rsidTr="00A830B7">
        <w:trPr>
          <w:trHeight w:val="279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BMI category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A830B7" w:rsidTr="00A830B7">
        <w:trPr>
          <w:trHeight w:val="224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Underweight (&lt;18.5 kg/m</w:t>
            </w:r>
            <w:r w:rsidRPr="00CA3D66">
              <w:rPr>
                <w:b/>
                <w:bCs/>
                <w:sz w:val="16"/>
                <w:szCs w:val="16"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25.3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20.4-31.0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0.68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0.41-1.12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0.130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47.3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38.6-56.1</w:t>
            </w:r>
          </w:p>
        </w:tc>
      </w:tr>
      <w:tr w:rsidR="00A830B7" w:rsidTr="00A830B7">
        <w:trPr>
          <w:trHeight w:val="458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Normal weight (18.5–24.9 kg/m</w:t>
            </w:r>
            <w:r w:rsidRPr="00CA3D66">
              <w:rPr>
                <w:b/>
                <w:bCs/>
                <w:sz w:val="16"/>
                <w:szCs w:val="16"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29.2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27.7-30.8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54.1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51.7-56.5</w:t>
            </w:r>
          </w:p>
        </w:tc>
      </w:tr>
      <w:tr w:rsidR="00A830B7" w:rsidTr="00A830B7">
        <w:trPr>
          <w:trHeight w:val="449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Overweight (25.0–29.9 kg/m</w:t>
            </w:r>
            <w:r w:rsidRPr="00CA3D66">
              <w:rPr>
                <w:b/>
                <w:bCs/>
                <w:sz w:val="16"/>
                <w:szCs w:val="16"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35.1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33.8-36.5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1.40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1.20-1.63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57.7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55.8-59.5</w:t>
            </w:r>
          </w:p>
        </w:tc>
      </w:tr>
      <w:tr w:rsidR="00A830B7" w:rsidTr="00A830B7">
        <w:trPr>
          <w:trHeight w:val="233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Obesity (≥30.0 kg/m</w:t>
            </w:r>
            <w:r w:rsidRPr="00CA3D66">
              <w:rPr>
                <w:b/>
                <w:bCs/>
                <w:sz w:val="16"/>
                <w:szCs w:val="16"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)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45.7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44.2-47.3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1.73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1.46-2.06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63.3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61.4-65.1</w:t>
            </w:r>
          </w:p>
        </w:tc>
      </w:tr>
      <w:tr w:rsidR="00A830B7" w:rsidTr="00A830B7">
        <w:trPr>
          <w:trHeight w:val="270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A830B7">
              <w:rPr>
                <w:rFonts w:ascii="Calibri" w:eastAsia="Calibri" w:hAnsi="Calibri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Mean salt intake (gram</w:t>
            </w:r>
            <w:r>
              <w:rPr>
                <w:rFonts w:ascii="Calibri" w:eastAsia="Calibri" w:hAnsi="Calibri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/day</w:t>
            </w:r>
            <w:r w:rsidRPr="00A830B7">
              <w:rPr>
                <w:rFonts w:ascii="Calibri" w:eastAsia="Calibri" w:hAnsi="Calibri" w:cs="Arial"/>
                <w:b/>
                <w:bCs/>
                <w:color w:val="000000"/>
                <w:sz w:val="16"/>
                <w:szCs w:val="16"/>
                <w:lang w:val="en-GB" w:eastAsia="en-GB"/>
              </w:rPr>
              <w:t>) **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453AF1">
              <w:rPr>
                <w:rFonts w:ascii="Calibri" w:eastAsia="Calibri" w:hAnsi="Calibri" w:cs="Calibri"/>
                <w:color w:val="000000"/>
                <w:sz w:val="16"/>
              </w:rPr>
              <w:t>9.6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453AF1">
              <w:rPr>
                <w:rFonts w:ascii="Calibri" w:eastAsia="Calibri" w:hAnsi="Calibri" w:cs="Calibri"/>
                <w:color w:val="000000"/>
                <w:sz w:val="16"/>
              </w:rPr>
              <w:t>9.5-9.7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453AF1">
              <w:rPr>
                <w:rFonts w:ascii="Calibri" w:eastAsia="Calibri" w:hAnsi="Calibri" w:cs="Calibri"/>
                <w:color w:val="000000"/>
                <w:sz w:val="16"/>
              </w:rPr>
              <w:t>0.96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453AF1">
              <w:rPr>
                <w:rFonts w:ascii="Calibri" w:eastAsia="Calibri" w:hAnsi="Calibri" w:cs="Calibri"/>
                <w:color w:val="000000"/>
                <w:sz w:val="16"/>
              </w:rPr>
              <w:t>0.94-0.99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453AF1">
              <w:rPr>
                <w:rFonts w:ascii="Calibri" w:eastAsia="Calibri" w:hAnsi="Calibri" w:cs="Calibri"/>
                <w:color w:val="000000"/>
                <w:sz w:val="16"/>
              </w:rPr>
              <w:t>0.002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A830B7" w:rsidTr="00A830B7">
        <w:trPr>
          <w:trHeight w:val="233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Dyslipid</w:t>
            </w:r>
            <w:r>
              <w:rPr>
                <w:b/>
                <w:bCs/>
                <w:sz w:val="16"/>
                <w:szCs w:val="16"/>
                <w:lang w:val="en-GB"/>
              </w:rPr>
              <w:t>a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emia***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Pr="00453AF1" w:rsidRDefault="00A830B7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A830B7" w:rsidTr="00A830B7">
        <w:trPr>
          <w:trHeight w:val="270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37.9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36.3-39.6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59.1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56.8-61.3</w:t>
            </w:r>
          </w:p>
        </w:tc>
      </w:tr>
      <w:tr w:rsidR="00A830B7" w:rsidTr="00A830B7">
        <w:trPr>
          <w:trHeight w:val="224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39.3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37.7-40.9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1.02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0.90-1.16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0.722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59.4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57.3-61.4</w:t>
            </w:r>
          </w:p>
        </w:tc>
      </w:tr>
      <w:tr w:rsidR="00A830B7" w:rsidTr="00A830B7">
        <w:trPr>
          <w:trHeight w:val="458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High triglycerides (fasting triglycerides ≥200 mg/dL)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A830B7" w:rsidTr="00A830B7">
        <w:trPr>
          <w:trHeight w:val="270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38.4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37.1-39.7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59.5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57.8-61.2</w:t>
            </w:r>
          </w:p>
        </w:tc>
      </w:tr>
      <w:tr w:rsidR="00A830B7" w:rsidTr="00A830B7">
        <w:trPr>
          <w:trHeight w:val="233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39.2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36.5-42.0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1.07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0.91-1.27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0.422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54.4-61.5</w:t>
            </w:r>
          </w:p>
        </w:tc>
      </w:tr>
      <w:tr w:rsidR="00A830B7" w:rsidTr="00A830B7">
        <w:trPr>
          <w:trHeight w:val="270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Diabetes mellitus****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A830B7" w:rsidTr="00A830B7">
        <w:trPr>
          <w:trHeight w:val="270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33.6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32.3-34.9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54.5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52.6-56.3</w:t>
            </w:r>
          </w:p>
        </w:tc>
      </w:tr>
      <w:tr w:rsidR="00A830B7" w:rsidTr="00A830B7">
        <w:trPr>
          <w:trHeight w:val="233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60.0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57.2-62.7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1.76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1.52-2.05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73.7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70.9-76.3</w:t>
            </w:r>
          </w:p>
        </w:tc>
      </w:tr>
      <w:tr w:rsidR="00A830B7" w:rsidTr="00A830B7">
        <w:trPr>
          <w:trHeight w:val="270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Previous CVD events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A830B7" w:rsidTr="00A830B7">
        <w:trPr>
          <w:trHeight w:val="270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35.9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35.0-36.8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57.9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56.7-59.1</w:t>
            </w:r>
          </w:p>
        </w:tc>
      </w:tr>
      <w:tr w:rsidR="00A830B7" w:rsidTr="00A830B7">
        <w:trPr>
          <w:trHeight w:val="233"/>
        </w:trPr>
        <w:tc>
          <w:tcPr>
            <w:tcW w:w="226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A830B7" w:rsidRPr="00CA3D66" w:rsidRDefault="00A830B7" w:rsidP="00A830B7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73.5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69.2-77.3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2.49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1.77-3.49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83.7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830B7" w:rsidRDefault="00A830B7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79.8-87.0</w:t>
            </w:r>
          </w:p>
        </w:tc>
      </w:tr>
    </w:tbl>
    <w:p w:rsidR="00A830B7" w:rsidRPr="000A5B4D" w:rsidRDefault="00A830B7" w:rsidP="00F35D69">
      <w:pPr>
        <w:tabs>
          <w:tab w:val="left" w:pos="1810"/>
        </w:tabs>
        <w:spacing w:line="240" w:lineRule="auto"/>
        <w:rPr>
          <w:rFonts w:cs="Calibri"/>
          <w:color w:val="000000"/>
          <w:sz w:val="16"/>
          <w:szCs w:val="16"/>
        </w:rPr>
      </w:pPr>
      <w:r w:rsidRPr="000A5B4D">
        <w:rPr>
          <w:rFonts w:cs="Calibri"/>
          <w:color w:val="000000"/>
          <w:sz w:val="16"/>
          <w:szCs w:val="16"/>
        </w:rPr>
        <w:t xml:space="preserve">†This refers to the percentage of awareness in each of the sub-categories of individual characteristics. *ORs are estimated for regression analyses with the hypertension cut-off </w:t>
      </w:r>
      <w:r w:rsidRPr="00D05AFD">
        <w:rPr>
          <w:rFonts w:cs="Calibri"/>
          <w:color w:val="000000"/>
          <w:sz w:val="16"/>
          <w:szCs w:val="16"/>
        </w:rPr>
        <w:t>defined by</w:t>
      </w:r>
      <w:r w:rsidRPr="000A5B4D">
        <w:rPr>
          <w:rFonts w:cs="Calibri"/>
          <w:color w:val="000000"/>
          <w:sz w:val="16"/>
          <w:szCs w:val="16"/>
        </w:rPr>
        <w:t xml:space="preserve"> the 2017 ACC/AHA. </w:t>
      </w:r>
      <w:r w:rsidR="000C619B">
        <w:rPr>
          <w:rFonts w:cs="Calibri"/>
          <w:color w:val="000000"/>
          <w:sz w:val="16"/>
          <w:szCs w:val="16"/>
        </w:rPr>
        <w:t xml:space="preserve"> </w:t>
      </w:r>
      <w:r w:rsidRPr="000A5B4D">
        <w:rPr>
          <w:rFonts w:cs="Calibri"/>
          <w:color w:val="000000"/>
          <w:sz w:val="16"/>
          <w:szCs w:val="16"/>
        </w:rPr>
        <w:t>**</w:t>
      </w:r>
      <w:r w:rsidRPr="00415C56">
        <w:rPr>
          <w:rFonts w:cs="Calibri"/>
          <w:color w:val="000000"/>
          <w:sz w:val="16"/>
          <w:szCs w:val="16"/>
        </w:rPr>
        <w:t xml:space="preserve">24-h salt intake </w:t>
      </w:r>
      <w:r w:rsidR="00F35D69" w:rsidRPr="00415C56">
        <w:rPr>
          <w:rFonts w:cs="Calibri"/>
          <w:color w:val="000000"/>
          <w:sz w:val="16"/>
          <w:szCs w:val="16"/>
        </w:rPr>
        <w:t xml:space="preserve">is </w:t>
      </w:r>
      <w:r w:rsidR="00F35D69">
        <w:rPr>
          <w:rFonts w:cs="Calibri"/>
          <w:color w:val="000000"/>
          <w:sz w:val="16"/>
          <w:szCs w:val="16"/>
        </w:rPr>
        <w:t>considered</w:t>
      </w:r>
      <w:r>
        <w:rPr>
          <w:rFonts w:cs="Calibri"/>
          <w:color w:val="000000"/>
          <w:sz w:val="16"/>
          <w:szCs w:val="16"/>
        </w:rPr>
        <w:t xml:space="preserve"> as a continuous variable in this analysis. </w:t>
      </w:r>
      <w:r w:rsidR="000C619B">
        <w:rPr>
          <w:rFonts w:cs="Calibri"/>
          <w:color w:val="000000"/>
          <w:sz w:val="16"/>
          <w:szCs w:val="16"/>
        </w:rPr>
        <w:t xml:space="preserve"> </w:t>
      </w:r>
      <w:r w:rsidRPr="00A50FA6">
        <w:rPr>
          <w:rFonts w:cs="Calibri"/>
          <w:color w:val="000000"/>
          <w:sz w:val="16"/>
          <w:szCs w:val="16"/>
        </w:rPr>
        <w:t xml:space="preserve">***Dyslipidaemia refers to either total cholesterol ≥200 mg/dL, high-density lipoprotein (HDL) cholesterol &lt;35 mg/dL, or low-density lipoprotein (LDL) cholesterol ≥130 mg/dL.  </w:t>
      </w:r>
      <w:r w:rsidRPr="000A5B4D">
        <w:rPr>
          <w:rFonts w:cs="Calibri"/>
          <w:color w:val="000000"/>
          <w:sz w:val="16"/>
          <w:szCs w:val="16"/>
        </w:rPr>
        <w:t>****Diabetes mellitus refers to HbA1c &gt;48 mmol/mol or fasting blood sugar (FBS) &gt;126 mg/dL or self-report</w:t>
      </w:r>
      <w:r>
        <w:rPr>
          <w:rFonts w:cs="Calibri"/>
          <w:color w:val="000000"/>
          <w:sz w:val="16"/>
          <w:szCs w:val="16"/>
        </w:rPr>
        <w:t>ed</w:t>
      </w:r>
      <w:r w:rsidRPr="000A5B4D">
        <w:rPr>
          <w:rFonts w:cs="Calibri"/>
          <w:color w:val="000000"/>
          <w:sz w:val="16"/>
          <w:szCs w:val="16"/>
        </w:rPr>
        <w:t xml:space="preserve"> diabetes.</w:t>
      </w:r>
    </w:p>
    <w:p w:rsidR="009B3A25" w:rsidRDefault="009B3A25" w:rsidP="00453AF1">
      <w:pPr>
        <w:tabs>
          <w:tab w:val="left" w:pos="1810"/>
        </w:tabs>
        <w:spacing w:after="0" w:line="240" w:lineRule="auto"/>
        <w:rPr>
          <w:rFonts w:ascii="Calibri" w:eastAsia="Calibri" w:hAnsi="Calibri" w:cs="Calibri"/>
          <w:color w:val="000000"/>
          <w:sz w:val="16"/>
        </w:rPr>
      </w:pPr>
    </w:p>
    <w:p w:rsidR="009B3A25" w:rsidRDefault="009B3A25" w:rsidP="009B3A25">
      <w:pPr>
        <w:spacing w:after="0" w:line="240" w:lineRule="auto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br w:type="page"/>
      </w:r>
    </w:p>
    <w:p w:rsidR="000C619B" w:rsidRPr="00CA3D66" w:rsidRDefault="000C619B" w:rsidP="000C619B">
      <w:pPr>
        <w:spacing w:line="240" w:lineRule="auto"/>
        <w:rPr>
          <w:color w:val="000000"/>
          <w:sz w:val="20"/>
          <w:szCs w:val="20"/>
        </w:rPr>
      </w:pPr>
      <w:r w:rsidRPr="00CA3D66">
        <w:rPr>
          <w:color w:val="000000"/>
          <w:sz w:val="20"/>
          <w:szCs w:val="20"/>
        </w:rPr>
        <w:lastRenderedPageBreak/>
        <w:t>Table 3: Percentage of hypertension treatment based on the 2017 ACC/AHA and JNC8 hypertension guidelines and individual characteristics associated with treatment according to the 2017 ACC/AHA guideline</w:t>
      </w:r>
    </w:p>
    <w:tbl>
      <w:tblPr>
        <w:tblW w:w="1009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24"/>
        <w:gridCol w:w="844"/>
        <w:gridCol w:w="1156"/>
        <w:gridCol w:w="937"/>
        <w:gridCol w:w="1311"/>
        <w:gridCol w:w="857"/>
        <w:gridCol w:w="665"/>
        <w:gridCol w:w="1401"/>
      </w:tblGrid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2017 ACC/AHA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JNC8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%</w:t>
            </w:r>
            <w:r w:rsidRPr="00CA3D66">
              <w:rPr>
                <w:vertAlign w:val="superscript"/>
                <w:lang w:val="en-GB"/>
              </w:rPr>
              <w:t>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 95% CI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OR*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 95% CI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 xml:space="preserve">P-value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 %</w:t>
            </w:r>
            <w:r w:rsidRPr="00CA3D66">
              <w:rPr>
                <w:vertAlign w:val="superscript"/>
                <w:lang w:val="en-GB"/>
              </w:rPr>
              <w:t>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sz w:val="16"/>
                <w:szCs w:val="16"/>
                <w:lang w:val="en-GB"/>
              </w:rPr>
            </w:pPr>
            <w:r w:rsidRPr="00CA3D66">
              <w:rPr>
                <w:sz w:val="16"/>
                <w:szCs w:val="16"/>
                <w:lang w:val="en-GB"/>
              </w:rPr>
              <w:t> 95% CI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Overall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71.3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69.9-72.7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78.9-81.4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Age groups (years old)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25-34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23.2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17.6-29.9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44.1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34.7-53.9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35-44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43.2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38.8-47.7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2.83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1.55-5.16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0.001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61.2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55.9-66.2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45-54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65.8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62.7-68.8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5.90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3.28-10.58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75.4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72.4-78.3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55-64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75.4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73.0-77.7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8.33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4.60-15.08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81.4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79.2-83.5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65-74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82.6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80.1-84.9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13.61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7.18-25.77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86.6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84.3-88.6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≥75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84.3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81.5-86.8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13.32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6.78-26.16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88.2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85.6-90.3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Gender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Male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68.3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66.2-70.4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76.2-80.1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Female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73.1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71.4-74.8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0.84-1.32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0.670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81.3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79.8-82.8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Marital status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Single/divorced/widow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77.5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74.7-80.0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83.7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81.1-85.9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Married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69.7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68.0-71.2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0.67-1.14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0.325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77.8-80.7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Area of residence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Urban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71.6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70.0-73.2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80.8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79.3-82.2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Rural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70.4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67.6-73.0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0.81-1.28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0.889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76.2-81.0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Wealth status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Poorest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71.4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68.2-74.4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76.8-82.3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Poor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75.0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72.2-77.6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0.62-1.08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0.161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82.6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80.0-84.8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Average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69.8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66.6-72.7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0.83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0.61-1.13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0.225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78.5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75.5-81.1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Rich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69.4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66.2-72.5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0.84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0.60-1.16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0.284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78.6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75.5-81.3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Richest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68.3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64.9-71.6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0.73-1.54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0.766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76.5-82.6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Years of schooling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schooling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78.8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76.7-80.7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83.7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81.7-85.4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1-6 years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71.9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69.5-74.1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1.03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0.80-1.31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0.837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79.8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77.5-81.8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7-12 years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61.4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58.4-64.3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0.64-1.22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0.449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75.5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72.6-78.2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&gt;12years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67.7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63.6-71.6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0.93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0.64-1.36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0.720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74.9-82.5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Basic health insurance coverage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65.5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58.6-71.7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69.6-81.7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Yes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71.6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70.1-73.0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1.12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0.70-1.81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0.635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80.4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79.1-81.6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Complementary health insurance coverage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69.1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67.3-70.8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76.7-79.9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Yes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76.3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74.0-78.5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0.78-1.24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0.858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84.2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82.2-86.1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Smoking status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Never-smoker/former-smoker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72.0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70.6-73.4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80.8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79.5-82.0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Daily cigarette-smoker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62.1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56.9-66.9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0.96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0.65-1.41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0.827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72.3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67.1-77.0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Alcohol consumption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72.0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70.6-73.4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80.8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79.5-82.0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55.7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49.2-62.1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0.44-1.12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0.138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65.9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58.9-72.2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Sufficient intake of fruits &amp; vegetables </w:t>
            </w:r>
          </w:p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(fruits ≥2 portions &amp; vegetables ≥3 portions)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Yes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68.4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63.8-72.6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79.5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75.3-83.1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71.5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70.1-73.0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0.94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0.69-1.28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0.688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78.8-81.5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lastRenderedPageBreak/>
              <w:t xml:space="preserve">Sufficient physical activity </w:t>
            </w:r>
          </w:p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(metabolic equivalents (MET) ≥ 600/week)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65.8-70.2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77.9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75.7-79.8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74.9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73.2-76.6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1.21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1.00-1.47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0.048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83.0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81.4-84.4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BMI level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lang w:val="en-GB"/>
              </w:rPr>
              <w:t>Underweight (&lt;18.5 kg/m</w:t>
            </w:r>
            <w:r w:rsidRPr="00CA3D66">
              <w:rPr>
                <w:b/>
                <w:bCs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lang w:val="en-GB"/>
              </w:rPr>
              <w:t>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74.0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62.0-83.2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0.42-1.93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0.785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82.4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70.6-90.1</w:t>
            </w:r>
          </w:p>
        </w:tc>
      </w:tr>
      <w:tr w:rsidR="000C619B" w:rsidTr="000C619B">
        <w:trPr>
          <w:trHeight w:val="21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lang w:val="en-GB"/>
              </w:rPr>
              <w:t>Normal weight (18.5–24.9 kg/m</w:t>
            </w:r>
            <w:r w:rsidRPr="00CA3D66">
              <w:rPr>
                <w:b/>
                <w:bCs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lang w:val="en-GB"/>
              </w:rPr>
              <w:t>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69.7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66.8-72.5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78.8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76.0-81.4</w:t>
            </w:r>
          </w:p>
        </w:tc>
      </w:tr>
      <w:tr w:rsidR="000C619B" w:rsidTr="000C619B">
        <w:trPr>
          <w:trHeight w:val="2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lang w:val="en-GB"/>
              </w:rPr>
              <w:t>Overweight (25.0–29.9 kg/m</w:t>
            </w:r>
            <w:r w:rsidRPr="00CA3D66">
              <w:rPr>
                <w:b/>
                <w:bCs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lang w:val="en-GB"/>
              </w:rPr>
              <w:t>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69.6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67.4-71.7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0.77-1.30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0.997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78.8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76.8-80.7</w:t>
            </w:r>
          </w:p>
        </w:tc>
      </w:tr>
      <w:tr w:rsidR="000C619B" w:rsidTr="000C619B">
        <w:trPr>
          <w:trHeight w:val="2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lang w:val="en-GB"/>
              </w:rPr>
              <w:t>Obesity (≥30.0 kg/m</w:t>
            </w:r>
            <w:r w:rsidRPr="00CA3D66">
              <w:rPr>
                <w:b/>
                <w:bCs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lang w:val="en-GB"/>
              </w:rPr>
              <w:t>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72.9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70.8-75.0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1.31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1.00-1.71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0.050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81.3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79.3-83.2</w:t>
            </w:r>
          </w:p>
        </w:tc>
      </w:tr>
      <w:tr w:rsidR="000C619B" w:rsidTr="000C619B">
        <w:trPr>
          <w:trHeight w:val="2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</w:pPr>
            <w:r w:rsidRPr="000C619B"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  <w:t>Mean salt intake (gram/day)</w:t>
            </w:r>
            <w:r w:rsidRPr="000C619B">
              <w:rPr>
                <w:b/>
                <w:bCs/>
              </w:rPr>
              <w:t xml:space="preserve"> </w:t>
            </w:r>
            <w:r w:rsidRPr="000C619B"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  <w:t>**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9.6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9B3A25">
              <w:rPr>
                <w:rFonts w:ascii="Calibri" w:eastAsia="Calibri" w:hAnsi="Calibri" w:cs="Calibri"/>
                <w:color w:val="000000"/>
                <w:sz w:val="16"/>
              </w:rPr>
              <w:t>9.5-9.7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0.97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9B3A25">
              <w:rPr>
                <w:rFonts w:ascii="Calibri" w:eastAsia="Calibri" w:hAnsi="Calibri" w:cs="Calibri"/>
                <w:color w:val="000000"/>
                <w:sz w:val="16"/>
              </w:rPr>
              <w:t>0.94-1.01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0.156 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Pr="009B3A25" w:rsidRDefault="000C619B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</w:tr>
      <w:tr w:rsidR="000C619B" w:rsidTr="000C619B">
        <w:trPr>
          <w:trHeight w:val="3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Dyslipidaemia***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0C619B" w:rsidTr="000C619B">
        <w:trPr>
          <w:trHeight w:val="3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70.9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68.4-73.3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80.8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78.6-82.8</w:t>
            </w:r>
          </w:p>
        </w:tc>
      </w:tr>
      <w:tr w:rsidR="000C619B" w:rsidTr="000C619B">
        <w:trPr>
          <w:trHeight w:val="30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70.7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68.2-73.1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1.04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0.84-1.28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0.721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77.9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75.4-80.2</w:t>
            </w:r>
          </w:p>
        </w:tc>
      </w:tr>
      <w:tr w:rsidR="000C619B" w:rsidTr="000C619B">
        <w:trPr>
          <w:trHeight w:val="3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High triglycerides (fasting triglycerides ≥200 mg/dL)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0C619B" w:rsidTr="000C619B">
        <w:trPr>
          <w:trHeight w:val="3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71.5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70.0-73.4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80.3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78.5-82.0</w:t>
            </w:r>
          </w:p>
        </w:tc>
      </w:tr>
      <w:tr w:rsidR="000C619B" w:rsidTr="000C619B">
        <w:trPr>
          <w:trHeight w:val="2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67.7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63.4-71.7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0.94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0.72-1.22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0.632.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74.5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70.1-78.5</w:t>
            </w:r>
          </w:p>
        </w:tc>
      </w:tr>
      <w:tr w:rsidR="000C619B" w:rsidTr="000C619B">
        <w:trPr>
          <w:trHeight w:val="40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Diabetes mellitus****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0C619B" w:rsidTr="000C619B">
        <w:trPr>
          <w:trHeight w:val="3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No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66.3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64.1-68.4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76.3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74.2-78.3</w:t>
            </w:r>
          </w:p>
        </w:tc>
      </w:tr>
      <w:tr w:rsidR="000C619B" w:rsidTr="000C619B">
        <w:trPr>
          <w:trHeight w:val="2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82.2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79.5-84.7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1.79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1.43-2.24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86.1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83.4-88.3</w:t>
            </w:r>
          </w:p>
        </w:tc>
      </w:tr>
      <w:tr w:rsidR="000C619B" w:rsidTr="000C619B">
        <w:trPr>
          <w:trHeight w:val="3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Previous CVD event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</w:tr>
      <w:tr w:rsidR="000C619B" w:rsidTr="000C619B">
        <w:trPr>
          <w:trHeight w:val="40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69.8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68.3-71.3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79.1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77.8-80.4</w:t>
            </w:r>
          </w:p>
        </w:tc>
      </w:tr>
      <w:tr w:rsidR="000C619B" w:rsidTr="000C619B">
        <w:trPr>
          <w:trHeight w:val="29"/>
        </w:trPr>
        <w:tc>
          <w:tcPr>
            <w:tcW w:w="292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0C619B" w:rsidRPr="00CA3D66" w:rsidRDefault="000C619B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92.2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88.9-94.6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1.78-5.08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&lt;0.001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93.4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C619B" w:rsidRDefault="000C619B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90.1-95.6</w:t>
            </w:r>
          </w:p>
        </w:tc>
      </w:tr>
    </w:tbl>
    <w:p w:rsidR="000C619B" w:rsidRPr="000A5B4D" w:rsidRDefault="000C619B" w:rsidP="00F35D69">
      <w:pPr>
        <w:tabs>
          <w:tab w:val="left" w:pos="1810"/>
        </w:tabs>
        <w:spacing w:line="240" w:lineRule="auto"/>
        <w:rPr>
          <w:rFonts w:cs="Calibri"/>
          <w:color w:val="000000"/>
          <w:sz w:val="16"/>
          <w:szCs w:val="16"/>
        </w:rPr>
      </w:pPr>
      <w:r w:rsidRPr="00A50FA6">
        <w:rPr>
          <w:rFonts w:cs="Calibri"/>
          <w:color w:val="000000"/>
          <w:sz w:val="16"/>
          <w:szCs w:val="16"/>
        </w:rPr>
        <w:t xml:space="preserve">This refers to the percentage of hypertension treatment in each of the sub-categories of individual characteristics. </w:t>
      </w:r>
      <w:r>
        <w:rPr>
          <w:rFonts w:cs="Calibri"/>
          <w:color w:val="000000"/>
          <w:sz w:val="16"/>
          <w:szCs w:val="16"/>
        </w:rPr>
        <w:t xml:space="preserve"> </w:t>
      </w:r>
      <w:r w:rsidRPr="000A5B4D">
        <w:rPr>
          <w:rFonts w:cs="Calibri"/>
          <w:color w:val="000000"/>
          <w:sz w:val="16"/>
          <w:szCs w:val="16"/>
        </w:rPr>
        <w:t xml:space="preserve">*ORs are estimated for regression analyses with the hypertension cut-off </w:t>
      </w:r>
      <w:r w:rsidRPr="00B101E5">
        <w:rPr>
          <w:rFonts w:cs="Calibri"/>
          <w:color w:val="000000"/>
          <w:sz w:val="16"/>
          <w:szCs w:val="16"/>
        </w:rPr>
        <w:t xml:space="preserve">defined by </w:t>
      </w:r>
      <w:r w:rsidRPr="000A5B4D">
        <w:rPr>
          <w:rFonts w:cs="Calibri"/>
          <w:color w:val="000000"/>
          <w:sz w:val="16"/>
          <w:szCs w:val="16"/>
        </w:rPr>
        <w:t xml:space="preserve">the 2017 ACC/AHA.  </w:t>
      </w:r>
      <w:r>
        <w:rPr>
          <w:rFonts w:cs="Calibri"/>
          <w:color w:val="000000"/>
          <w:sz w:val="16"/>
          <w:szCs w:val="16"/>
        </w:rPr>
        <w:t xml:space="preserve"> </w:t>
      </w:r>
      <w:r w:rsidR="00F35D69" w:rsidRPr="000A5B4D">
        <w:rPr>
          <w:rFonts w:cs="Calibri"/>
          <w:color w:val="000000"/>
          <w:sz w:val="16"/>
          <w:szCs w:val="16"/>
        </w:rPr>
        <w:t>**</w:t>
      </w:r>
      <w:r w:rsidR="00F35D69" w:rsidRPr="00415C56">
        <w:rPr>
          <w:rFonts w:cs="Calibri"/>
          <w:color w:val="000000"/>
          <w:sz w:val="16"/>
          <w:szCs w:val="16"/>
        </w:rPr>
        <w:t xml:space="preserve">24-h salt intake is </w:t>
      </w:r>
      <w:r w:rsidR="00F35D69">
        <w:rPr>
          <w:rFonts w:cs="Calibri"/>
          <w:color w:val="000000"/>
          <w:sz w:val="16"/>
          <w:szCs w:val="16"/>
        </w:rPr>
        <w:t xml:space="preserve">considered as a continuous variable in this analysis.  </w:t>
      </w:r>
      <w:r w:rsidRPr="000A5B4D">
        <w:rPr>
          <w:rFonts w:cs="Calibri"/>
          <w:color w:val="000000"/>
          <w:sz w:val="16"/>
          <w:szCs w:val="16"/>
        </w:rPr>
        <w:t>***Dyslipidaemia refers to either total cholesterol ≥200 mg/dL, high-density lipoprotein (HDL) cholesterol &lt;35 mg/dL, or low-density lipoprotein (LDL) cholesterol ≥130 mg/dL.  ****Diabetes mellitus refers to HbA1c &gt;48 mmol/mol or fasting blood sugar (FBS) &gt;126 mg/dL or self-report</w:t>
      </w:r>
      <w:r>
        <w:rPr>
          <w:rFonts w:cs="Calibri"/>
          <w:color w:val="000000"/>
          <w:sz w:val="16"/>
          <w:szCs w:val="16"/>
        </w:rPr>
        <w:t>ed</w:t>
      </w:r>
      <w:r w:rsidRPr="000A5B4D">
        <w:rPr>
          <w:rFonts w:cs="Calibri"/>
          <w:color w:val="000000"/>
          <w:sz w:val="16"/>
          <w:szCs w:val="16"/>
        </w:rPr>
        <w:t xml:space="preserve"> diabetes.</w:t>
      </w:r>
    </w:p>
    <w:p w:rsidR="000C619B" w:rsidRDefault="000C619B" w:rsidP="00453AF1">
      <w:pPr>
        <w:tabs>
          <w:tab w:val="left" w:pos="1810"/>
        </w:tabs>
        <w:spacing w:after="0" w:line="240" w:lineRule="auto"/>
        <w:rPr>
          <w:rFonts w:ascii="Calibri" w:eastAsia="Calibri" w:hAnsi="Calibri" w:cs="Calibri"/>
          <w:color w:val="000000"/>
          <w:sz w:val="16"/>
        </w:rPr>
      </w:pPr>
    </w:p>
    <w:p w:rsidR="009B3A25" w:rsidRDefault="009B3A25" w:rsidP="00453AF1">
      <w:pPr>
        <w:tabs>
          <w:tab w:val="left" w:pos="1810"/>
        </w:tabs>
        <w:spacing w:after="0" w:line="240" w:lineRule="auto"/>
        <w:rPr>
          <w:rFonts w:ascii="Calibri" w:eastAsia="Calibri" w:hAnsi="Calibri" w:cs="Calibri"/>
          <w:color w:val="000000"/>
          <w:sz w:val="16"/>
        </w:rPr>
      </w:pPr>
    </w:p>
    <w:p w:rsidR="009B3A25" w:rsidRDefault="009B3A25" w:rsidP="009B3A25">
      <w:pPr>
        <w:spacing w:after="0" w:line="240" w:lineRule="auto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br w:type="page"/>
      </w:r>
    </w:p>
    <w:p w:rsidR="009B3A25" w:rsidRDefault="00F35D69" w:rsidP="009B3A25">
      <w:pPr>
        <w:spacing w:after="0" w:line="240" w:lineRule="auto"/>
        <w:rPr>
          <w:rFonts w:ascii="Calibri" w:eastAsia="Calibri" w:hAnsi="Calibri" w:cs="Calibri"/>
          <w:color w:val="000000"/>
          <w:sz w:val="20"/>
        </w:rPr>
      </w:pPr>
      <w:r w:rsidRPr="00CA3D66">
        <w:rPr>
          <w:color w:val="000000"/>
          <w:sz w:val="20"/>
          <w:szCs w:val="20"/>
        </w:rPr>
        <w:lastRenderedPageBreak/>
        <w:t>Table 4</w:t>
      </w:r>
      <w:r>
        <w:rPr>
          <w:color w:val="000000"/>
          <w:sz w:val="20"/>
          <w:szCs w:val="20"/>
        </w:rPr>
        <w:t>:</w:t>
      </w:r>
      <w:r w:rsidRPr="00CA3D66">
        <w:rPr>
          <w:color w:val="000000"/>
          <w:sz w:val="20"/>
          <w:szCs w:val="20"/>
        </w:rPr>
        <w:t xml:space="preserve"> Percentage of hypertension control based on the 2017 ACC/AHA and JNC8 hypertension guidelines and individual characteristics associated with hypertension control according to the 2017 ACC/AHA guideline</w:t>
      </w:r>
    </w:p>
    <w:tbl>
      <w:tblPr>
        <w:tblW w:w="101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62"/>
        <w:gridCol w:w="860"/>
        <w:gridCol w:w="1360"/>
        <w:gridCol w:w="1074"/>
        <w:gridCol w:w="1347"/>
        <w:gridCol w:w="1157"/>
        <w:gridCol w:w="912"/>
        <w:gridCol w:w="1342"/>
      </w:tblGrid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 xml:space="preserve">2017 ACC/AHA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JNC8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%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95% CI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OR*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95% CI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 xml:space="preserve">P-value 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95% CI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Overall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18.3-21.0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39.1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37.4-40.7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Age groups (years old)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25-34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23.8-51.4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62.9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47.9-75.8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35-44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14.6-25.6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0.30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0.10-0.91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0.033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51.4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44.4-58.4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45-54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15.0-20.9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0.32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0.11-0.92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0.035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40.0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36.3-43.8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55-64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15.0-19.5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0.27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0.09-0.78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0.016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38.9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35.9-42.0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65-74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18.0-23.3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0.13-1.09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0.071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34.5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31.4-37.7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≥75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19.9-26.4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0.39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0.13-1.12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0.080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39.0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35.4-42.8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Gender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Male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18.8-23.2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40.9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38.2-43.6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Female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17.2-20.5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1.14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0.85-1.54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0.373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38.0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36.0-40.1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Marital status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Single/divorced/widow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21.3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18.5-24.3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36.5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33.3-39.9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Married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17.7-20.7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0.60-1.21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0.370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39.9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38.0-41.8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Area of residence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Urban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18.7-21.9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40.7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38.8-42.7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Rural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15.6-20.7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0.71-1.35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0.883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35.0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32.0-38.2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Wealth status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Poorest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15.2-21.1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37.5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33.8-41.3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Poor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16.4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14.1-19.0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0.65-1.43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0.868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32.7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29.6-35.9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Average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15.6-21.6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1.01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0.64-1.59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0.976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38.1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34.3-41.9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Rich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19.8-26.5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1.30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0.84-2.02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0.233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43.8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39.9-47.9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Richest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20.3-27.4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1.58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0.97-2.59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0.066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45.3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41.2-49.5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Years of schooling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 schooling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15.8-20.0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33.0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30.6-35.6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1-6 years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17.7-22.6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1.33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0.94-1.87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0.104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41.2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38.2-44.3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7-12 years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17.9-23.6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0.92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0.60-1.39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0.677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45.5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41.9-49.1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&gt;12 years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22.7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18.6-27.5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1.25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0.76-2.05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0.388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42.2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37.1-47.5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Basic health insurance coverage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13.6-26.3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 xml:space="preserve">1 (ref) 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37.5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29.8-45.8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18.3-21.1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0.64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0.32-1.27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0.204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37.5-40.9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Complementary health insurance coverage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ab/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16.9-20.1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37.3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35.3-39.4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22.5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20.0-25.1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1.40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1.06-1.86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0.016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43.1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40.2-46.1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Smoking status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Never-smoker/former-smoker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18.2-21.0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39.0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37.3-40.7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vAlign w:val="center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Daily cigarette-smoker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21.0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16.2-26.8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1.04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0.57-1.89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0.906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41.4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35.2-47.8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Alcohol consumption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18.0-20.8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38.8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37.1-40.5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25.7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18.9-33.9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1.11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0.60-2.04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0.738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47.1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38.6-55.9</w:t>
            </w:r>
          </w:p>
        </w:tc>
      </w:tr>
      <w:tr w:rsidR="002D079A" w:rsidTr="002D079A">
        <w:trPr>
          <w:trHeight w:val="14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Pr="00CA3D66" w:rsidRDefault="002D079A" w:rsidP="002D079A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Sufficient intake of fruits &amp; vegetables </w:t>
            </w:r>
          </w:p>
          <w:p w:rsidR="002D079A" w:rsidRDefault="002D079A" w:rsidP="002D079A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(fruits ≥2 portions &amp; vegetables ≥3 portions)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259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21.9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17.6-27.1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44.9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39.3-50.6</w:t>
            </w:r>
          </w:p>
        </w:tc>
      </w:tr>
      <w:tr w:rsidR="002D079A" w:rsidTr="002D079A">
        <w:trPr>
          <w:trHeight w:val="218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lastRenderedPageBreak/>
              <w:t>No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17.9-20.7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0.53-1.38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0.513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38.3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36.6-40.1</w:t>
            </w:r>
          </w:p>
        </w:tc>
      </w:tr>
      <w:tr w:rsidR="002D079A" w:rsidTr="004D0F93">
        <w:trPr>
          <w:trHeight w:val="603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Sufficient physical activity</w:t>
            </w:r>
          </w:p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(metabolic equivalents (MET) ≥ 600/week)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259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 xml:space="preserve">Yes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18.2-22.8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41.2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38.4-44.1</w:t>
            </w:r>
          </w:p>
        </w:tc>
      </w:tr>
      <w:tr w:rsidR="002D079A" w:rsidTr="002D079A">
        <w:trPr>
          <w:trHeight w:val="218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17.3-20.7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0.66-1.13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0.301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37.9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35.8-40.0</w:t>
            </w:r>
          </w:p>
        </w:tc>
      </w:tr>
      <w:tr w:rsidR="002D079A" w:rsidTr="002D079A">
        <w:trPr>
          <w:trHeight w:val="259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BMI level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504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lang w:val="en-GB"/>
              </w:rPr>
              <w:t>Underweight (&lt;18.5 kg/m</w:t>
            </w:r>
            <w:r w:rsidRPr="00CA3D66">
              <w:rPr>
                <w:b/>
                <w:bCs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lang w:val="en-GB"/>
              </w:rPr>
              <w:t>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22.1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12.9-35.3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0.53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0.19-1.50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0.232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32.6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21.3-46.4</w:t>
            </w:r>
          </w:p>
        </w:tc>
      </w:tr>
      <w:tr w:rsidR="002D079A" w:rsidTr="002D079A">
        <w:trPr>
          <w:trHeight w:val="504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lang w:val="en-GB"/>
              </w:rPr>
              <w:t>Normal weight (18.5–24.9 kg/m</w:t>
            </w:r>
            <w:r w:rsidRPr="00CA3D66">
              <w:rPr>
                <w:b/>
                <w:bCs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lang w:val="en-GB"/>
              </w:rPr>
              <w:t>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20.9-27.1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42.7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39.1-46.4</w:t>
            </w:r>
          </w:p>
        </w:tc>
      </w:tr>
      <w:tr w:rsidR="002D079A" w:rsidTr="002D079A">
        <w:trPr>
          <w:trHeight w:val="491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lang w:val="en-GB"/>
              </w:rPr>
              <w:t>Overweight (25.0–29.9 kg/m</w:t>
            </w:r>
            <w:r w:rsidRPr="00CA3D66">
              <w:rPr>
                <w:b/>
                <w:bCs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lang w:val="en-GB"/>
              </w:rPr>
              <w:t>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17.9-22.3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0.73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0.52-1.03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0.072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39.7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37.1-42.4</w:t>
            </w:r>
          </w:p>
        </w:tc>
      </w:tr>
      <w:tr w:rsidR="002D079A" w:rsidTr="002D079A">
        <w:trPr>
          <w:trHeight w:val="504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lang w:val="en-GB"/>
              </w:rPr>
              <w:t>Obesity (≥30.0 kg/m</w:t>
            </w:r>
            <w:r w:rsidRPr="00CA3D66">
              <w:rPr>
                <w:b/>
                <w:bCs/>
                <w:vertAlign w:val="superscript"/>
                <w:lang w:val="en-GB"/>
              </w:rPr>
              <w:t>2</w:t>
            </w:r>
            <w:r w:rsidRPr="00CA3D66">
              <w:rPr>
                <w:b/>
                <w:bCs/>
                <w:lang w:val="en-GB"/>
              </w:rPr>
              <w:t>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16.1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14.2-18.3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0.56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0.38-0.82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0.003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36.6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34.1-39.3</w:t>
            </w:r>
          </w:p>
        </w:tc>
      </w:tr>
      <w:tr w:rsidR="002D079A" w:rsidTr="002D079A">
        <w:trPr>
          <w:trHeight w:val="381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</w:pPr>
            <w:r w:rsidRPr="002D079A"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  <w:t>Mean salt intake (gram)</w:t>
            </w:r>
            <w:r w:rsidRPr="002D079A">
              <w:rPr>
                <w:b/>
                <w:bCs/>
              </w:rPr>
              <w:t xml:space="preserve"> </w:t>
            </w:r>
            <w:r w:rsidRPr="002D079A">
              <w:rPr>
                <w:rFonts w:ascii="Calibri" w:eastAsia="Calibri" w:hAnsi="Calibri" w:cs="Calibri"/>
                <w:b/>
                <w:bCs/>
                <w:color w:val="000000"/>
                <w:sz w:val="16"/>
              </w:rPr>
              <w:t>**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Pr="009B3A25" w:rsidRDefault="002D079A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9B3A25">
              <w:rPr>
                <w:rFonts w:ascii="Calibri" w:eastAsia="Calibri" w:hAnsi="Calibri" w:cs="Calibri"/>
                <w:color w:val="000000"/>
                <w:sz w:val="16"/>
              </w:rPr>
              <w:t>9.4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Pr="009B3A25" w:rsidRDefault="002D079A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9B3A25">
              <w:rPr>
                <w:rFonts w:ascii="Calibri" w:eastAsia="Calibri" w:hAnsi="Calibri" w:cs="Calibri"/>
                <w:color w:val="000000"/>
                <w:sz w:val="16"/>
              </w:rPr>
              <w:t>9.2-9.7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Pr="009B3A25" w:rsidRDefault="002D079A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0.99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Pr="009B3A25" w:rsidRDefault="002D079A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 w:rsidRPr="009B3A25">
              <w:rPr>
                <w:rFonts w:ascii="Calibri" w:eastAsia="Calibri" w:hAnsi="Calibri" w:cs="Calibri"/>
                <w:color w:val="000000"/>
                <w:sz w:val="16"/>
              </w:rPr>
              <w:t>0.94-1.05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Pr="009B3A25" w:rsidRDefault="002D079A" w:rsidP="009B3A25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16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0.746 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259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Dyslipid</w:t>
            </w:r>
            <w:r>
              <w:rPr>
                <w:b/>
                <w:bCs/>
                <w:sz w:val="16"/>
                <w:szCs w:val="16"/>
                <w:lang w:val="en-GB"/>
              </w:rPr>
              <w:t>a</w:t>
            </w:r>
            <w:r w:rsidRPr="00CA3D66">
              <w:rPr>
                <w:b/>
                <w:bCs/>
                <w:sz w:val="16"/>
                <w:szCs w:val="16"/>
                <w:lang w:val="en-GB"/>
              </w:rPr>
              <w:t>emia***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272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21.1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18.3-24.1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40.1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37.0-43.4</w:t>
            </w:r>
          </w:p>
        </w:tc>
      </w:tr>
      <w:tr w:rsidR="002D079A" w:rsidTr="002D079A">
        <w:trPr>
          <w:trHeight w:val="218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15.3-19.9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0.80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0.63-1.01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0.064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35.8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32.9-38.8</w:t>
            </w:r>
          </w:p>
        </w:tc>
      </w:tr>
      <w:tr w:rsidR="002D079A" w:rsidTr="002D079A">
        <w:trPr>
          <w:trHeight w:val="668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High triglyceride (fasting triglyceride ≥200 mg/dL)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259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20.0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18.0-22.1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38.8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36.4-41.2</w:t>
            </w:r>
          </w:p>
        </w:tc>
      </w:tr>
      <w:tr w:rsidR="002D079A" w:rsidTr="002D079A">
        <w:trPr>
          <w:trHeight w:val="218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16.0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12.1-21.0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0.86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0.63-1.19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0.371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33.5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28.4-39.0</w:t>
            </w:r>
          </w:p>
        </w:tc>
      </w:tr>
      <w:tr w:rsidR="002D079A" w:rsidTr="002D079A">
        <w:trPr>
          <w:trHeight w:val="259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Diabetes mellitus****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272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17.2-21.6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38.9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36.2-41.6</w:t>
            </w:r>
          </w:p>
        </w:tc>
      </w:tr>
      <w:tr w:rsidR="002D079A" w:rsidTr="002D079A">
        <w:trPr>
          <w:trHeight w:val="218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16.0-23.7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1.01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0.76-1.35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0.927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36.4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32.5-40.5</w:t>
            </w:r>
          </w:p>
        </w:tc>
      </w:tr>
      <w:tr w:rsidR="002D079A" w:rsidTr="002D079A">
        <w:trPr>
          <w:trHeight w:val="259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Previous CVD events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D079A" w:rsidTr="002D079A">
        <w:trPr>
          <w:trHeight w:val="259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No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17.8-20.7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1 (ref)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 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38.8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37.0-40.5</w:t>
            </w:r>
          </w:p>
        </w:tc>
      </w:tr>
      <w:tr w:rsidR="002D079A" w:rsidTr="002D079A">
        <w:trPr>
          <w:trHeight w:val="231"/>
        </w:trPr>
        <w:tc>
          <w:tcPr>
            <w:tcW w:w="206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</w:tcPr>
          <w:p w:rsidR="002D079A" w:rsidRPr="00CA3D66" w:rsidRDefault="002D079A" w:rsidP="00D65E49">
            <w:pPr>
              <w:pStyle w:val="Tablestyle2222"/>
              <w:spacing w:line="276" w:lineRule="auto"/>
              <w:rPr>
                <w:b/>
                <w:bCs/>
                <w:sz w:val="16"/>
                <w:szCs w:val="16"/>
                <w:lang w:val="en-GB"/>
              </w:rPr>
            </w:pPr>
            <w:r w:rsidRPr="00CA3D66">
              <w:rPr>
                <w:b/>
                <w:bCs/>
                <w:sz w:val="16"/>
                <w:szCs w:val="16"/>
                <w:lang w:val="en-GB"/>
              </w:rPr>
              <w:t>Yes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23.6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19.2-28.7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2.05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1.34-3.13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0.001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42.5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D079A" w:rsidRDefault="002D079A" w:rsidP="009B3A25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16"/>
              </w:rPr>
              <w:t>37.0-48.3</w:t>
            </w:r>
          </w:p>
        </w:tc>
      </w:tr>
    </w:tbl>
    <w:p w:rsidR="00F35D69" w:rsidRPr="000A5B4D" w:rsidRDefault="00F35D69" w:rsidP="00F35D69">
      <w:pPr>
        <w:tabs>
          <w:tab w:val="left" w:pos="1810"/>
        </w:tabs>
        <w:spacing w:line="240" w:lineRule="auto"/>
        <w:rPr>
          <w:rFonts w:cs="Calibri"/>
          <w:color w:val="000000"/>
          <w:sz w:val="16"/>
          <w:szCs w:val="16"/>
        </w:rPr>
      </w:pPr>
      <w:r w:rsidRPr="000A5B4D">
        <w:rPr>
          <w:rFonts w:cs="Calibri"/>
          <w:color w:val="000000"/>
          <w:sz w:val="16"/>
          <w:szCs w:val="14"/>
        </w:rPr>
        <w:t>†</w:t>
      </w:r>
      <w:r w:rsidRPr="000A5B4D">
        <w:rPr>
          <w:rFonts w:cs="Calibri"/>
          <w:color w:val="000000"/>
          <w:sz w:val="16"/>
          <w:szCs w:val="16"/>
        </w:rPr>
        <w:t xml:space="preserve">This refers to the percentage of hypertension control in each of the sub-categories of individual characteristics. </w:t>
      </w:r>
      <w:r w:rsidRPr="00A50FA6">
        <w:rPr>
          <w:rFonts w:cs="Calibri"/>
          <w:color w:val="000000"/>
          <w:sz w:val="16"/>
          <w:szCs w:val="16"/>
        </w:rPr>
        <w:t xml:space="preserve">*ORs are estimated for regression analyses with the hypertension cut-off </w:t>
      </w:r>
      <w:r w:rsidRPr="00D05AFD">
        <w:rPr>
          <w:rFonts w:cs="Calibri"/>
          <w:color w:val="000000"/>
          <w:sz w:val="16"/>
          <w:szCs w:val="16"/>
        </w:rPr>
        <w:t>defined by</w:t>
      </w:r>
      <w:r w:rsidRPr="00A50FA6">
        <w:rPr>
          <w:rFonts w:cs="Calibri"/>
          <w:color w:val="000000"/>
          <w:sz w:val="16"/>
          <w:szCs w:val="16"/>
        </w:rPr>
        <w:t xml:space="preserve"> the 2017 ACC/AHA.</w:t>
      </w:r>
      <w:r w:rsidRPr="00A50FA6">
        <w:rPr>
          <w:rFonts w:cs="Calibri"/>
          <w:color w:val="000000"/>
          <w:sz w:val="16"/>
          <w:szCs w:val="12"/>
        </w:rPr>
        <w:t xml:space="preserve"> </w:t>
      </w:r>
      <w:r w:rsidRPr="000A5B4D">
        <w:rPr>
          <w:rFonts w:cs="Calibri"/>
          <w:color w:val="000000"/>
          <w:sz w:val="16"/>
          <w:szCs w:val="16"/>
        </w:rPr>
        <w:t>**</w:t>
      </w:r>
      <w:r w:rsidRPr="00415C56">
        <w:rPr>
          <w:rFonts w:cs="Calibri"/>
          <w:color w:val="000000"/>
          <w:sz w:val="16"/>
          <w:szCs w:val="16"/>
        </w:rPr>
        <w:t xml:space="preserve">24-h salt intake is </w:t>
      </w:r>
      <w:r>
        <w:rPr>
          <w:rFonts w:cs="Calibri"/>
          <w:color w:val="000000"/>
          <w:sz w:val="16"/>
          <w:szCs w:val="16"/>
        </w:rPr>
        <w:t xml:space="preserve">considered as a continuous variable in this analysis.  </w:t>
      </w:r>
      <w:r w:rsidRPr="00A50FA6">
        <w:rPr>
          <w:rFonts w:cs="Calibri"/>
          <w:color w:val="000000"/>
          <w:sz w:val="16"/>
          <w:szCs w:val="16"/>
        </w:rPr>
        <w:t>***Dyslipidaemia refers to either total cholesterol ≥200 mg/dL, high-density lipoprotein (HDL) cholesterol &lt;35 mg/dL, or low-density lipoprotein (LDL) cholesterol ≥130 mg/dL.  ****Diabetes mellitus refers to HbA1c &gt;48 mmol/mol or fasting blood sugar (FBS) &gt;126 mg/dL or self-report</w:t>
      </w:r>
      <w:r>
        <w:rPr>
          <w:rFonts w:cs="Calibri"/>
          <w:color w:val="000000"/>
          <w:sz w:val="16"/>
          <w:szCs w:val="16"/>
        </w:rPr>
        <w:t>ed</w:t>
      </w:r>
      <w:r w:rsidRPr="000A5B4D">
        <w:rPr>
          <w:rFonts w:cs="Calibri"/>
          <w:color w:val="000000"/>
          <w:sz w:val="16"/>
          <w:szCs w:val="16"/>
        </w:rPr>
        <w:t xml:space="preserve"> diabetes.</w:t>
      </w:r>
    </w:p>
    <w:p w:rsidR="009B3A25" w:rsidRDefault="009B3A25" w:rsidP="009B3A25">
      <w:pPr>
        <w:tabs>
          <w:tab w:val="left" w:pos="1810"/>
        </w:tabs>
        <w:spacing w:after="0" w:line="240" w:lineRule="auto"/>
        <w:rPr>
          <w:rFonts w:ascii="Calibri" w:eastAsia="Calibri" w:hAnsi="Calibri" w:cs="Calibri"/>
          <w:color w:val="000000"/>
          <w:sz w:val="16"/>
        </w:rPr>
      </w:pPr>
    </w:p>
    <w:p w:rsidR="009B3A25" w:rsidRDefault="009B3A25" w:rsidP="009B3A25">
      <w:pPr>
        <w:spacing w:after="0" w:line="240" w:lineRule="auto"/>
        <w:ind w:firstLine="431"/>
        <w:jc w:val="both"/>
        <w:rPr>
          <w:rFonts w:ascii="Calibri" w:eastAsia="Calibri" w:hAnsi="Calibri" w:cs="Calibri"/>
          <w:color w:val="000000"/>
          <w:sz w:val="24"/>
        </w:rPr>
      </w:pPr>
    </w:p>
    <w:p w:rsidR="00D03053" w:rsidRDefault="00D03053" w:rsidP="009B3A25">
      <w:pPr>
        <w:spacing w:after="0" w:line="240" w:lineRule="auto"/>
      </w:pPr>
    </w:p>
    <w:sectPr w:rsidR="00D030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23DD1"/>
    <w:multiLevelType w:val="multilevel"/>
    <w:tmpl w:val="6A6AC7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5C6A15"/>
    <w:multiLevelType w:val="multilevel"/>
    <w:tmpl w:val="CE6E0B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7476AF"/>
    <w:multiLevelType w:val="multilevel"/>
    <w:tmpl w:val="F18E7E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0202C0"/>
    <w:multiLevelType w:val="multilevel"/>
    <w:tmpl w:val="695EC9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17E7B64"/>
    <w:multiLevelType w:val="multilevel"/>
    <w:tmpl w:val="DAAC81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C925D67"/>
    <w:multiLevelType w:val="multilevel"/>
    <w:tmpl w:val="0406A2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2C96B8E"/>
    <w:multiLevelType w:val="multilevel"/>
    <w:tmpl w:val="E0A0EE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3397E34"/>
    <w:multiLevelType w:val="multilevel"/>
    <w:tmpl w:val="B9F45C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7364D8F"/>
    <w:multiLevelType w:val="multilevel"/>
    <w:tmpl w:val="3488C3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C676E03"/>
    <w:multiLevelType w:val="multilevel"/>
    <w:tmpl w:val="4F4A57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9545C96"/>
    <w:multiLevelType w:val="multilevel"/>
    <w:tmpl w:val="550E8E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9"/>
  </w:num>
  <w:num w:numId="5">
    <w:abstractNumId w:val="2"/>
  </w:num>
  <w:num w:numId="6">
    <w:abstractNumId w:val="8"/>
  </w:num>
  <w:num w:numId="7">
    <w:abstractNumId w:val="10"/>
  </w:num>
  <w:num w:numId="8">
    <w:abstractNumId w:val="1"/>
  </w:num>
  <w:num w:numId="9">
    <w:abstractNumId w:val="7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A25"/>
    <w:rsid w:val="000C619B"/>
    <w:rsid w:val="001C5E8F"/>
    <w:rsid w:val="002D079A"/>
    <w:rsid w:val="003B5D3F"/>
    <w:rsid w:val="003F15B4"/>
    <w:rsid w:val="00415C56"/>
    <w:rsid w:val="00453AF1"/>
    <w:rsid w:val="004D0F93"/>
    <w:rsid w:val="005076F5"/>
    <w:rsid w:val="00632DCB"/>
    <w:rsid w:val="00807347"/>
    <w:rsid w:val="008F2889"/>
    <w:rsid w:val="00913878"/>
    <w:rsid w:val="009A05C4"/>
    <w:rsid w:val="009B3A25"/>
    <w:rsid w:val="00A830B7"/>
    <w:rsid w:val="00AA19A2"/>
    <w:rsid w:val="00B750C0"/>
    <w:rsid w:val="00BF4A0A"/>
    <w:rsid w:val="00C97F37"/>
    <w:rsid w:val="00D03053"/>
    <w:rsid w:val="00DD6710"/>
    <w:rsid w:val="00E678B4"/>
    <w:rsid w:val="00F35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442BA"/>
  <w15:docId w15:val="{B5FD00FB-E0D5-0C40-A3E7-B581EBCFE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3A2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style2222">
    <w:name w:val="Table style  2222"/>
    <w:basedOn w:val="Normal"/>
    <w:link w:val="Tablestyle2222Char"/>
    <w:autoRedefine/>
    <w:qFormat/>
    <w:rsid w:val="00415C56"/>
    <w:pPr>
      <w:spacing w:after="0" w:line="240" w:lineRule="auto"/>
    </w:pPr>
    <w:rPr>
      <w:rFonts w:ascii="Calibri" w:eastAsia="Calibri" w:hAnsi="Calibri" w:cs="Arial"/>
      <w:color w:val="000000"/>
      <w:sz w:val="18"/>
      <w:szCs w:val="18"/>
      <w:lang w:eastAsia="en-GB"/>
    </w:rPr>
  </w:style>
  <w:style w:type="character" w:customStyle="1" w:styleId="Tablestyle2222Char">
    <w:name w:val="Table style  2222 Char"/>
    <w:link w:val="Tablestyle2222"/>
    <w:rsid w:val="00415C56"/>
    <w:rPr>
      <w:rFonts w:ascii="Calibri" w:eastAsia="Calibri" w:hAnsi="Calibri" w:cs="Arial"/>
      <w:color w:val="000000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2563</Words>
  <Characters>14610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Microsoft Office User</cp:lastModifiedBy>
  <cp:revision>3</cp:revision>
  <dcterms:created xsi:type="dcterms:W3CDTF">2020-02-28T19:08:00Z</dcterms:created>
  <dcterms:modified xsi:type="dcterms:W3CDTF">2020-02-28T19:10:00Z</dcterms:modified>
</cp:coreProperties>
</file>